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E11E" w14:textId="32ADE677" w:rsidR="00F140F7" w:rsidRPr="00F140F7" w:rsidRDefault="00F140F7" w:rsidP="00F140F7">
      <w:pPr>
        <w:jc w:val="center"/>
      </w:pPr>
      <w:r>
        <w:rPr>
          <w:b/>
          <w:bCs/>
          <w:noProof/>
        </w:rPr>
        <mc:AlternateContent>
          <mc:Choice Requires="wps">
            <w:drawing>
              <wp:anchor distT="0" distB="0" distL="114300" distR="114300" simplePos="0" relativeHeight="251659264" behindDoc="0" locked="0" layoutInCell="1" allowOverlap="1" wp14:anchorId="546F3474" wp14:editId="7E935907">
                <wp:simplePos x="0" y="0"/>
                <wp:positionH relativeFrom="column">
                  <wp:posOffset>-101924</wp:posOffset>
                </wp:positionH>
                <wp:positionV relativeFrom="paragraph">
                  <wp:posOffset>318430</wp:posOffset>
                </wp:positionV>
                <wp:extent cx="5869172" cy="21266"/>
                <wp:effectExtent l="0" t="0" r="36830" b="36195"/>
                <wp:wrapNone/>
                <wp:docPr id="1681011905" name="Conector recto 3"/>
                <wp:cNvGraphicFramePr/>
                <a:graphic xmlns:a="http://schemas.openxmlformats.org/drawingml/2006/main">
                  <a:graphicData uri="http://schemas.microsoft.com/office/word/2010/wordprocessingShape">
                    <wps:wsp>
                      <wps:cNvCnPr/>
                      <wps:spPr>
                        <a:xfrm flipV="1">
                          <a:off x="0" y="0"/>
                          <a:ext cx="5869172" cy="21266"/>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8776E0" id="Conector recto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05pt,25.05pt" to="454.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" strokecolor="#156082 [3204]" strokeweight="1.5pt">
                <v:stroke joinstyle="miter"/>
              </v:line>
            </w:pict>
          </mc:Fallback>
        </mc:AlternateContent>
      </w:r>
      <w:r w:rsidRPr="00F140F7">
        <w:rPr>
          <w:b/>
          <w:bCs/>
        </w:rPr>
        <w:t>ÁREA DE SEGURIDAD ESCOLAR</w:t>
      </w:r>
    </w:p>
    <w:p w14:paraId="40F0E603" w14:textId="477CA86E" w:rsidR="00F140F7" w:rsidRPr="00F140F7" w:rsidRDefault="00F140F7" w:rsidP="00F140F7"/>
    <w:p w14:paraId="74B4CEB5" w14:textId="77777777" w:rsidR="00F140F7" w:rsidRPr="00F140F7" w:rsidRDefault="00F140F7" w:rsidP="00F140F7">
      <w:r w:rsidRPr="00F140F7">
        <w:rPr>
          <w:b/>
          <w:bCs/>
        </w:rPr>
        <w:t>17. PROTOCOLO DE ACCIÓN EN CASO DE ACCIDENTE ESCOLAR</w:t>
      </w:r>
    </w:p>
    <w:p w14:paraId="576AF535" w14:textId="77777777" w:rsidR="00F140F7" w:rsidRPr="00F140F7" w:rsidRDefault="00F140F7" w:rsidP="00F140F7">
      <w:pPr>
        <w:jc w:val="both"/>
      </w:pPr>
      <w:r w:rsidRPr="00F140F7">
        <w:t>De acuerdo con lo establecido por la Ley 16.744, en su Artículo 3°, todos los estudiantes de establecimientos educacionales, tanto fiscales como particulares, están protegidos por el Seguro Escolar en caso de accidentes que sufran durante el desarrollo de sus estudios o la realización de prácticas profesionales.</w:t>
      </w:r>
    </w:p>
    <w:p w14:paraId="3D4DCB0B" w14:textId="77777777" w:rsidR="00F140F7" w:rsidRPr="00F140F7" w:rsidRDefault="00F140F7" w:rsidP="00F140F7">
      <w:pPr>
        <w:jc w:val="both"/>
      </w:pPr>
      <w:r w:rsidRPr="00F140F7">
        <w:t xml:space="preserve">Se entiende por accidente escolar cualquier lesión sufrida por un estudiante en el marco de actividades relacionadas con el establecimiento, ya sea en el aula, en el patio, en eventos extracurriculares o en el trayecto hacia y desde el establecimiento educativo. Esta categoría incluye aquellos accidentes que, por su gravedad, puedan causar incapacidad temporal o permanente, o daño físico al estudiante. Asimismo, los estudiantes están cubiertos por el Seguro Escolar desde el momento en que se matriculan en el establecimiento, independientemente de su nivel educativo, desde la educación </w:t>
      </w:r>
      <w:proofErr w:type="spellStart"/>
      <w:r w:rsidRPr="00F140F7">
        <w:t>parvularia</w:t>
      </w:r>
      <w:proofErr w:type="spellEnd"/>
      <w:r w:rsidRPr="00F140F7">
        <w:t xml:space="preserve"> hasta la educación media.</w:t>
      </w:r>
    </w:p>
    <w:p w14:paraId="6C734833" w14:textId="77777777" w:rsidR="00F140F7" w:rsidRPr="00F140F7" w:rsidRDefault="00F140F7" w:rsidP="00F140F7">
      <w:pPr>
        <w:jc w:val="both"/>
      </w:pPr>
      <w:r w:rsidRPr="00F140F7">
        <w:t>En caso de que un estudiante sufra un accidente o experimente una enfermedad repentina durante las actividades escolares, se deberá seguir el protocolo establecido para garantizar una respuesta rápida y adecuada, con el fin de proteger la salud y bienestar del estudiante afectado. A continuación, se detallan los procedimientos a seguir ante un accidente o incidente de salud en el contexto escolar.</w:t>
      </w:r>
    </w:p>
    <w:tbl>
      <w:tblPr>
        <w:tblW w:w="9640" w:type="dxa"/>
        <w:tblInd w:w="-289" w:type="dxa"/>
        <w:tblCellMar>
          <w:top w:w="15" w:type="dxa"/>
          <w:left w:w="15" w:type="dxa"/>
          <w:bottom w:w="15" w:type="dxa"/>
          <w:right w:w="15" w:type="dxa"/>
        </w:tblCellMar>
        <w:tblLook w:val="04A0" w:firstRow="1" w:lastRow="0" w:firstColumn="1" w:lastColumn="0" w:noHBand="0" w:noVBand="1"/>
      </w:tblPr>
      <w:tblGrid>
        <w:gridCol w:w="1557"/>
        <w:gridCol w:w="4681"/>
        <w:gridCol w:w="1767"/>
        <w:gridCol w:w="1635"/>
      </w:tblGrid>
      <w:tr w:rsidR="00F140F7" w:rsidRPr="00F140F7" w14:paraId="4EE70472" w14:textId="77777777" w:rsidTr="00F140F7">
        <w:tc>
          <w:tcPr>
            <w:tcW w:w="1557" w:type="dxa"/>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1DA5B940" w14:textId="77777777" w:rsidR="00F140F7" w:rsidRPr="00F140F7" w:rsidRDefault="00F140F7" w:rsidP="00F140F7">
            <w:pPr>
              <w:spacing w:after="0" w:line="0" w:lineRule="atLeast"/>
              <w:jc w:val="both"/>
              <w:rPr>
                <w:sz w:val="22"/>
                <w:szCs w:val="22"/>
              </w:rPr>
            </w:pPr>
            <w:r w:rsidRPr="00F140F7">
              <w:rPr>
                <w:b/>
                <w:bCs/>
                <w:sz w:val="22"/>
                <w:szCs w:val="22"/>
              </w:rPr>
              <w:t>Acción</w:t>
            </w:r>
          </w:p>
        </w:tc>
        <w:tc>
          <w:tcPr>
            <w:tcW w:w="4681" w:type="dxa"/>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79C0954D" w14:textId="77777777" w:rsidR="00F140F7" w:rsidRPr="00F140F7" w:rsidRDefault="00F140F7" w:rsidP="00F140F7">
            <w:pPr>
              <w:spacing w:after="0" w:line="0" w:lineRule="atLeast"/>
              <w:jc w:val="both"/>
              <w:rPr>
                <w:sz w:val="22"/>
                <w:szCs w:val="22"/>
              </w:rPr>
            </w:pPr>
            <w:r w:rsidRPr="00F140F7">
              <w:rPr>
                <w:b/>
                <w:bCs/>
                <w:sz w:val="22"/>
                <w:szCs w:val="22"/>
              </w:rPr>
              <w:t>Descripción</w:t>
            </w:r>
          </w:p>
        </w:tc>
        <w:tc>
          <w:tcPr>
            <w:tcW w:w="1767" w:type="dxa"/>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6C2CAEFE" w14:textId="77777777" w:rsidR="00F140F7" w:rsidRPr="00F140F7" w:rsidRDefault="00F140F7" w:rsidP="00F140F7">
            <w:pPr>
              <w:spacing w:after="0" w:line="0" w:lineRule="atLeast"/>
              <w:jc w:val="both"/>
              <w:rPr>
                <w:sz w:val="22"/>
                <w:szCs w:val="22"/>
              </w:rPr>
            </w:pPr>
            <w:r w:rsidRPr="00F140F7">
              <w:rPr>
                <w:b/>
                <w:bCs/>
                <w:sz w:val="22"/>
                <w:szCs w:val="22"/>
              </w:rPr>
              <w:t>Tiempo</w:t>
            </w:r>
          </w:p>
        </w:tc>
        <w:tc>
          <w:tcPr>
            <w:tcW w:w="1635" w:type="dxa"/>
            <w:tcBorders>
              <w:top w:val="single" w:sz="4" w:space="0" w:color="000000"/>
              <w:left w:val="single" w:sz="4" w:space="0" w:color="000000"/>
              <w:bottom w:val="single" w:sz="4" w:space="0" w:color="000000"/>
              <w:right w:val="single" w:sz="4" w:space="0" w:color="000000"/>
            </w:tcBorders>
            <w:shd w:val="clear" w:color="auto" w:fill="C1E4F5"/>
            <w:tcMar>
              <w:top w:w="0" w:type="dxa"/>
              <w:left w:w="108" w:type="dxa"/>
              <w:bottom w:w="0" w:type="dxa"/>
              <w:right w:w="108" w:type="dxa"/>
            </w:tcMar>
            <w:hideMark/>
          </w:tcPr>
          <w:p w14:paraId="09424894" w14:textId="77777777" w:rsidR="00F140F7" w:rsidRPr="00F140F7" w:rsidRDefault="00F140F7" w:rsidP="00F140F7">
            <w:pPr>
              <w:spacing w:after="0" w:line="0" w:lineRule="atLeast"/>
              <w:jc w:val="both"/>
              <w:rPr>
                <w:sz w:val="22"/>
                <w:szCs w:val="22"/>
              </w:rPr>
            </w:pPr>
            <w:r w:rsidRPr="00F140F7">
              <w:rPr>
                <w:b/>
                <w:bCs/>
                <w:sz w:val="22"/>
                <w:szCs w:val="22"/>
              </w:rPr>
              <w:t>Responsables</w:t>
            </w:r>
          </w:p>
        </w:tc>
      </w:tr>
      <w:tr w:rsidR="00F140F7" w:rsidRPr="00F140F7" w14:paraId="07EB4592" w14:textId="77777777" w:rsidTr="00F140F7">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2697A" w14:textId="77777777" w:rsidR="00F140F7" w:rsidRPr="00F140F7" w:rsidRDefault="00F140F7" w:rsidP="00F140F7">
            <w:pPr>
              <w:spacing w:after="0" w:line="0" w:lineRule="atLeast"/>
              <w:jc w:val="both"/>
              <w:rPr>
                <w:sz w:val="22"/>
                <w:szCs w:val="22"/>
              </w:rPr>
            </w:pPr>
          </w:p>
          <w:p w14:paraId="64B51B8D" w14:textId="77777777" w:rsidR="00F140F7" w:rsidRPr="00F140F7" w:rsidRDefault="00F140F7" w:rsidP="00F140F7">
            <w:pPr>
              <w:spacing w:after="0" w:line="0" w:lineRule="atLeast"/>
              <w:jc w:val="both"/>
              <w:rPr>
                <w:sz w:val="22"/>
                <w:szCs w:val="22"/>
              </w:rPr>
            </w:pPr>
            <w:r w:rsidRPr="00F140F7">
              <w:rPr>
                <w:b/>
                <w:bCs/>
                <w:sz w:val="22"/>
                <w:szCs w:val="22"/>
              </w:rPr>
              <w:t>Enfermedad o accidente menos grave</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ECCD6" w14:textId="77777777" w:rsidR="00F140F7" w:rsidRPr="00F140F7" w:rsidRDefault="00F140F7" w:rsidP="00F140F7">
            <w:pPr>
              <w:spacing w:after="0" w:line="0" w:lineRule="atLeast"/>
              <w:jc w:val="both"/>
              <w:rPr>
                <w:sz w:val="22"/>
                <w:szCs w:val="22"/>
              </w:rPr>
            </w:pPr>
            <w:r w:rsidRPr="00F140F7">
              <w:rPr>
                <w:sz w:val="22"/>
                <w:szCs w:val="22"/>
              </w:rPr>
              <w:t>El estudiante será llevado a enfermería y se le proporcionarán primeros auxilios o agua de hierbas. El colegio no está autorizado a administrar medicamentos.</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4F4B2" w14:textId="77777777" w:rsidR="00F140F7" w:rsidRPr="00F140F7" w:rsidRDefault="00F140F7" w:rsidP="00F140F7">
            <w:pPr>
              <w:spacing w:after="0" w:line="0" w:lineRule="atLeast"/>
              <w:jc w:val="both"/>
              <w:rPr>
                <w:sz w:val="22"/>
                <w:szCs w:val="22"/>
              </w:rPr>
            </w:pPr>
            <w:r w:rsidRPr="00F140F7">
              <w:rPr>
                <w:sz w:val="22"/>
                <w:szCs w:val="22"/>
              </w:rPr>
              <w:t>Inmediato (al momento de la detección del incidente)</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C5165" w14:textId="77777777" w:rsidR="00F140F7" w:rsidRPr="00F140F7" w:rsidRDefault="00F140F7" w:rsidP="00F140F7">
            <w:pPr>
              <w:spacing w:after="0" w:line="0" w:lineRule="atLeast"/>
              <w:jc w:val="both"/>
              <w:rPr>
                <w:sz w:val="22"/>
                <w:szCs w:val="22"/>
              </w:rPr>
            </w:pPr>
            <w:r w:rsidRPr="00F140F7">
              <w:rPr>
                <w:sz w:val="22"/>
                <w:szCs w:val="22"/>
              </w:rPr>
              <w:t>Enfermería, Inspectoría.</w:t>
            </w:r>
          </w:p>
        </w:tc>
      </w:tr>
      <w:tr w:rsidR="00F140F7" w:rsidRPr="00F140F7" w14:paraId="5F65D7A1" w14:textId="77777777" w:rsidTr="00F140F7">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89627" w14:textId="77777777" w:rsidR="00F140F7" w:rsidRPr="00F140F7" w:rsidRDefault="00F140F7" w:rsidP="00F140F7">
            <w:pPr>
              <w:spacing w:after="0" w:line="0" w:lineRule="atLeast"/>
              <w:jc w:val="both"/>
              <w:rPr>
                <w:sz w:val="22"/>
                <w:szCs w:val="22"/>
              </w:rPr>
            </w:pPr>
          </w:p>
          <w:p w14:paraId="7B0550A3" w14:textId="77777777" w:rsidR="00F140F7" w:rsidRPr="00F140F7" w:rsidRDefault="00F140F7" w:rsidP="00F140F7">
            <w:pPr>
              <w:spacing w:after="0" w:line="0" w:lineRule="atLeast"/>
              <w:jc w:val="both"/>
              <w:rPr>
                <w:sz w:val="22"/>
                <w:szCs w:val="22"/>
              </w:rPr>
            </w:pPr>
            <w:r w:rsidRPr="00F140F7">
              <w:rPr>
                <w:b/>
                <w:bCs/>
                <w:sz w:val="22"/>
                <w:szCs w:val="22"/>
              </w:rPr>
              <w:t>Accidente leve</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3661E" w14:textId="77777777" w:rsidR="00F140F7" w:rsidRPr="00F140F7" w:rsidRDefault="00F140F7" w:rsidP="00F140F7">
            <w:pPr>
              <w:spacing w:after="0" w:line="0" w:lineRule="atLeast"/>
              <w:jc w:val="both"/>
              <w:rPr>
                <w:sz w:val="22"/>
                <w:szCs w:val="22"/>
              </w:rPr>
            </w:pPr>
            <w:r w:rsidRPr="00F140F7">
              <w:rPr>
                <w:sz w:val="22"/>
                <w:szCs w:val="22"/>
              </w:rPr>
              <w:t>Si el accidente requiere atención médica, se llamará a los padres o apoderados para que trasladen al estudiante al centro de salud. Se entregará el seguro de salud estatal.</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A14BC4" w14:textId="77777777" w:rsidR="00F140F7" w:rsidRPr="00F140F7" w:rsidRDefault="00F140F7" w:rsidP="00F140F7">
            <w:pPr>
              <w:spacing w:after="0" w:line="0" w:lineRule="atLeast"/>
              <w:jc w:val="both"/>
              <w:rPr>
                <w:sz w:val="22"/>
                <w:szCs w:val="22"/>
              </w:rPr>
            </w:pPr>
            <w:r w:rsidRPr="00F140F7">
              <w:rPr>
                <w:sz w:val="22"/>
                <w:szCs w:val="22"/>
              </w:rPr>
              <w:t>Inmediato (al momento de la detección del incidente)</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460E5" w14:textId="77777777" w:rsidR="00F140F7" w:rsidRPr="00F140F7" w:rsidRDefault="00F140F7" w:rsidP="00F140F7">
            <w:pPr>
              <w:spacing w:after="0" w:line="0" w:lineRule="atLeast"/>
              <w:jc w:val="both"/>
              <w:rPr>
                <w:sz w:val="22"/>
                <w:szCs w:val="22"/>
              </w:rPr>
            </w:pPr>
            <w:r w:rsidRPr="00F140F7">
              <w:rPr>
                <w:sz w:val="22"/>
                <w:szCs w:val="22"/>
              </w:rPr>
              <w:t>Inspectoría, Padres y apoderados</w:t>
            </w:r>
          </w:p>
        </w:tc>
      </w:tr>
      <w:tr w:rsidR="00F140F7" w:rsidRPr="00F140F7" w14:paraId="59538BF5" w14:textId="77777777" w:rsidTr="00F140F7">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E1C4B" w14:textId="77777777" w:rsidR="00F140F7" w:rsidRPr="00F140F7" w:rsidRDefault="00F140F7" w:rsidP="00F140F7">
            <w:pPr>
              <w:spacing w:after="0" w:line="0" w:lineRule="atLeast"/>
              <w:jc w:val="both"/>
              <w:rPr>
                <w:sz w:val="22"/>
                <w:szCs w:val="22"/>
              </w:rPr>
            </w:pPr>
          </w:p>
          <w:p w14:paraId="75605D28" w14:textId="77777777" w:rsidR="00F140F7" w:rsidRPr="00F140F7" w:rsidRDefault="00F140F7" w:rsidP="00F140F7">
            <w:pPr>
              <w:spacing w:after="0" w:line="0" w:lineRule="atLeast"/>
              <w:jc w:val="both"/>
              <w:rPr>
                <w:sz w:val="22"/>
                <w:szCs w:val="22"/>
              </w:rPr>
            </w:pPr>
            <w:r w:rsidRPr="00F140F7">
              <w:rPr>
                <w:b/>
                <w:bCs/>
                <w:sz w:val="22"/>
                <w:szCs w:val="22"/>
              </w:rPr>
              <w:t>Accidente grave</w:t>
            </w:r>
          </w:p>
        </w:tc>
        <w:tc>
          <w:tcPr>
            <w:tcW w:w="46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2C7A9" w14:textId="77777777" w:rsidR="00F140F7" w:rsidRPr="00F140F7" w:rsidRDefault="00F140F7" w:rsidP="00F140F7">
            <w:pPr>
              <w:spacing w:after="0" w:line="0" w:lineRule="atLeast"/>
              <w:jc w:val="both"/>
              <w:rPr>
                <w:sz w:val="22"/>
                <w:szCs w:val="22"/>
              </w:rPr>
            </w:pPr>
            <w:r w:rsidRPr="00F140F7">
              <w:rPr>
                <w:sz w:val="22"/>
                <w:szCs w:val="22"/>
              </w:rPr>
              <w:t>Si el accidente es grave (según evaluación de la encargada de enfermería), se llamará al servicio de urgencias para trasladar al estudiante en ambulancia. Se informará a los padres, quienes podrán decidir el traslado.</w:t>
            </w: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12693F" w14:textId="77777777" w:rsidR="00F140F7" w:rsidRPr="00F140F7" w:rsidRDefault="00F140F7" w:rsidP="00F140F7">
            <w:pPr>
              <w:spacing w:after="0" w:line="0" w:lineRule="atLeast"/>
              <w:jc w:val="both"/>
              <w:rPr>
                <w:sz w:val="22"/>
                <w:szCs w:val="22"/>
              </w:rPr>
            </w:pPr>
            <w:r w:rsidRPr="00F140F7">
              <w:rPr>
                <w:sz w:val="22"/>
                <w:szCs w:val="22"/>
              </w:rPr>
              <w:t>Inmediato (al momento de la detección del incidente)</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5C8156" w14:textId="77777777" w:rsidR="00F140F7" w:rsidRPr="00F140F7" w:rsidRDefault="00F140F7" w:rsidP="00F140F7">
            <w:pPr>
              <w:spacing w:after="0" w:line="0" w:lineRule="atLeast"/>
              <w:jc w:val="both"/>
              <w:rPr>
                <w:sz w:val="22"/>
                <w:szCs w:val="22"/>
              </w:rPr>
            </w:pPr>
            <w:r w:rsidRPr="00F140F7">
              <w:rPr>
                <w:sz w:val="22"/>
                <w:szCs w:val="22"/>
              </w:rPr>
              <w:t>Enfermería, Inspectoría, Servicio de urgencias, Padres y apoderados</w:t>
            </w:r>
          </w:p>
          <w:p w14:paraId="0BDA8601" w14:textId="77777777" w:rsidR="00F140F7" w:rsidRPr="00F140F7" w:rsidRDefault="00F140F7" w:rsidP="00F140F7">
            <w:pPr>
              <w:spacing w:after="0" w:line="0" w:lineRule="atLeast"/>
              <w:jc w:val="both"/>
              <w:rPr>
                <w:sz w:val="22"/>
                <w:szCs w:val="22"/>
              </w:rPr>
            </w:pPr>
          </w:p>
        </w:tc>
      </w:tr>
    </w:tbl>
    <w:p w14:paraId="752D2DA9" w14:textId="77777777" w:rsidR="00F140F7" w:rsidRPr="00F140F7" w:rsidRDefault="00F140F7" w:rsidP="00F140F7">
      <w:pPr>
        <w:jc w:val="both"/>
      </w:pPr>
      <w:r w:rsidRPr="00F140F7">
        <w:br/>
      </w:r>
    </w:p>
    <w:p w14:paraId="613DAFAB" w14:textId="77777777" w:rsidR="00F140F7" w:rsidRPr="00F140F7" w:rsidRDefault="00F140F7" w:rsidP="00F140F7">
      <w:pPr>
        <w:jc w:val="both"/>
      </w:pPr>
      <w:r w:rsidRPr="00F140F7">
        <w:lastRenderedPageBreak/>
        <w:t>Los estudiantes que cuenten con seguros de salud particulares deben asegurarse de mantener actualizada la información correspondiente en su agenda y ficha personal, para que el colegio pueda comunicarse directamente con ellos en caso de emergencia. Es fundamental que se completen todos los datos personales y números de teléfonos de emergencia en estos documentos. La responsabilidad de mantener esta información actualizada recae en los padres o apoderados del estudiante.</w:t>
      </w:r>
    </w:p>
    <w:p w14:paraId="4C4BEAC9" w14:textId="0E8CF61A" w:rsidR="00F140F7" w:rsidRDefault="00F140F7" w:rsidP="00F140F7">
      <w:pPr>
        <w:jc w:val="both"/>
      </w:pPr>
      <w:r w:rsidRPr="00F140F7">
        <w:br/>
      </w:r>
      <w:r w:rsidRPr="00F140F7">
        <w:drawing>
          <wp:inline distT="0" distB="0" distL="0" distR="0" wp14:anchorId="02A1550F" wp14:editId="2F453EF4">
            <wp:extent cx="5612130" cy="5875655"/>
            <wp:effectExtent l="0" t="0" r="7620" b="0"/>
            <wp:docPr id="1820744058"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a&#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5875655"/>
                    </a:xfrm>
                    <a:prstGeom prst="rect">
                      <a:avLst/>
                    </a:prstGeom>
                    <a:noFill/>
                    <a:ln>
                      <a:noFill/>
                    </a:ln>
                  </pic:spPr>
                </pic:pic>
              </a:graphicData>
            </a:graphic>
          </wp:inline>
        </w:drawing>
      </w:r>
    </w:p>
    <w:sectPr w:rsidR="00F140F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50731" w14:textId="77777777" w:rsidR="00F140F7" w:rsidRDefault="00F140F7" w:rsidP="00F140F7">
      <w:pPr>
        <w:spacing w:after="0" w:line="240" w:lineRule="auto"/>
      </w:pPr>
      <w:r>
        <w:separator/>
      </w:r>
    </w:p>
  </w:endnote>
  <w:endnote w:type="continuationSeparator" w:id="0">
    <w:p w14:paraId="0C852584" w14:textId="77777777" w:rsidR="00F140F7" w:rsidRDefault="00F140F7" w:rsidP="00F1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8DB9B" w14:textId="77777777" w:rsidR="00F140F7" w:rsidRDefault="00F140F7" w:rsidP="00F140F7">
      <w:pPr>
        <w:spacing w:after="0" w:line="240" w:lineRule="auto"/>
      </w:pPr>
      <w:r>
        <w:separator/>
      </w:r>
    </w:p>
  </w:footnote>
  <w:footnote w:type="continuationSeparator" w:id="0">
    <w:p w14:paraId="0D35B2CE" w14:textId="77777777" w:rsidR="00F140F7" w:rsidRDefault="00F140F7" w:rsidP="00F14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F915" w14:textId="77777777" w:rsidR="00F140F7" w:rsidRPr="00242B94" w:rsidRDefault="00F140F7" w:rsidP="00F140F7">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463C7797" wp14:editId="18C4B77F">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4DC03C3B" wp14:editId="62D38D01">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12B08E2C" w14:textId="77777777" w:rsidR="00F140F7" w:rsidRPr="00242B94" w:rsidRDefault="00F140F7" w:rsidP="00F140F7">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56F035CD" w14:textId="3B79288D" w:rsidR="00F140F7" w:rsidRPr="00F140F7" w:rsidRDefault="00F140F7" w:rsidP="00F140F7">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F7"/>
    <w:rsid w:val="00EA6AA8"/>
    <w:rsid w:val="00F140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86C3"/>
  <w15:chartTrackingRefBased/>
  <w15:docId w15:val="{2E4ECE9A-75BA-4611-BC26-32538D9E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40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40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140F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140F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40F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40F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40F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40F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40F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40F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40F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140F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140F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40F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40F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40F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40F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40F7"/>
    <w:rPr>
      <w:rFonts w:eastAsiaTheme="majorEastAsia" w:cstheme="majorBidi"/>
      <w:color w:val="272727" w:themeColor="text1" w:themeTint="D8"/>
    </w:rPr>
  </w:style>
  <w:style w:type="paragraph" w:styleId="Ttulo">
    <w:name w:val="Title"/>
    <w:basedOn w:val="Normal"/>
    <w:next w:val="Normal"/>
    <w:link w:val="TtuloCar"/>
    <w:uiPriority w:val="10"/>
    <w:qFormat/>
    <w:rsid w:val="00F140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0F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40F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40F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40F7"/>
    <w:pPr>
      <w:spacing w:before="160"/>
      <w:jc w:val="center"/>
    </w:pPr>
    <w:rPr>
      <w:i/>
      <w:iCs/>
      <w:color w:val="404040" w:themeColor="text1" w:themeTint="BF"/>
    </w:rPr>
  </w:style>
  <w:style w:type="character" w:customStyle="1" w:styleId="CitaCar">
    <w:name w:val="Cita Car"/>
    <w:basedOn w:val="Fuentedeprrafopredeter"/>
    <w:link w:val="Cita"/>
    <w:uiPriority w:val="29"/>
    <w:rsid w:val="00F140F7"/>
    <w:rPr>
      <w:i/>
      <w:iCs/>
      <w:color w:val="404040" w:themeColor="text1" w:themeTint="BF"/>
    </w:rPr>
  </w:style>
  <w:style w:type="paragraph" w:styleId="Prrafodelista">
    <w:name w:val="List Paragraph"/>
    <w:basedOn w:val="Normal"/>
    <w:uiPriority w:val="34"/>
    <w:qFormat/>
    <w:rsid w:val="00F140F7"/>
    <w:pPr>
      <w:ind w:left="720"/>
      <w:contextualSpacing/>
    </w:pPr>
  </w:style>
  <w:style w:type="character" w:styleId="nfasisintenso">
    <w:name w:val="Intense Emphasis"/>
    <w:basedOn w:val="Fuentedeprrafopredeter"/>
    <w:uiPriority w:val="21"/>
    <w:qFormat/>
    <w:rsid w:val="00F140F7"/>
    <w:rPr>
      <w:i/>
      <w:iCs/>
      <w:color w:val="0F4761" w:themeColor="accent1" w:themeShade="BF"/>
    </w:rPr>
  </w:style>
  <w:style w:type="paragraph" w:styleId="Citadestacada">
    <w:name w:val="Intense Quote"/>
    <w:basedOn w:val="Normal"/>
    <w:next w:val="Normal"/>
    <w:link w:val="CitadestacadaCar"/>
    <w:uiPriority w:val="30"/>
    <w:qFormat/>
    <w:rsid w:val="00F140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40F7"/>
    <w:rPr>
      <w:i/>
      <w:iCs/>
      <w:color w:val="0F4761" w:themeColor="accent1" w:themeShade="BF"/>
    </w:rPr>
  </w:style>
  <w:style w:type="character" w:styleId="Referenciaintensa">
    <w:name w:val="Intense Reference"/>
    <w:basedOn w:val="Fuentedeprrafopredeter"/>
    <w:uiPriority w:val="32"/>
    <w:qFormat/>
    <w:rsid w:val="00F140F7"/>
    <w:rPr>
      <w:b/>
      <w:bCs/>
      <w:smallCaps/>
      <w:color w:val="0F4761" w:themeColor="accent1" w:themeShade="BF"/>
      <w:spacing w:val="5"/>
    </w:rPr>
  </w:style>
  <w:style w:type="paragraph" w:styleId="Encabezado">
    <w:name w:val="header"/>
    <w:basedOn w:val="Normal"/>
    <w:link w:val="EncabezadoCar"/>
    <w:uiPriority w:val="99"/>
    <w:unhideWhenUsed/>
    <w:rsid w:val="00F140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40F7"/>
  </w:style>
  <w:style w:type="paragraph" w:styleId="Piedepgina">
    <w:name w:val="footer"/>
    <w:basedOn w:val="Normal"/>
    <w:link w:val="PiedepginaCar"/>
    <w:uiPriority w:val="99"/>
    <w:unhideWhenUsed/>
    <w:rsid w:val="00F140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03674">
      <w:bodyDiv w:val="1"/>
      <w:marLeft w:val="0"/>
      <w:marRight w:val="0"/>
      <w:marTop w:val="0"/>
      <w:marBottom w:val="0"/>
      <w:divBdr>
        <w:top w:val="none" w:sz="0" w:space="0" w:color="auto"/>
        <w:left w:val="none" w:sz="0" w:space="0" w:color="auto"/>
        <w:bottom w:val="none" w:sz="0" w:space="0" w:color="auto"/>
        <w:right w:val="none" w:sz="0" w:space="0" w:color="auto"/>
      </w:divBdr>
    </w:div>
    <w:div w:id="131472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2414</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2025-03-28T19:02:00Z</dcterms:created>
  <dcterms:modified xsi:type="dcterms:W3CDTF">2025-03-28T19:07:00Z</dcterms:modified>
</cp:coreProperties>
</file>